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6B4E50E" w14:textId="757819A5" w:rsidR="007D0E38" w:rsidRPr="004169AF" w:rsidRDefault="004169AF" w:rsidP="004169AF">
      <w:pPr>
        <w:jc w:val="center"/>
        <w:rPr>
          <w:rFonts w:ascii="Open Sans" w:hAnsi="Open Sans" w:cs="Open Sans"/>
          <w:b/>
          <w:bCs/>
        </w:rPr>
      </w:pPr>
      <w:r>
        <w:rPr>
          <w:rFonts w:ascii="Open Sans" w:hAnsi="Open Sans" w:cs="Open Sans"/>
          <w:b/>
          <w:bCs/>
          <w:noProof/>
        </w:rPr>
        <w:drawing>
          <wp:anchor distT="0" distB="0" distL="114300" distR="114300" simplePos="0" relativeHeight="251658240" behindDoc="1" locked="0" layoutInCell="1" allowOverlap="1" wp14:anchorId="24DC571D" wp14:editId="5B1F28B6">
            <wp:simplePos x="0" y="0"/>
            <wp:positionH relativeFrom="page">
              <wp:align>right</wp:align>
            </wp:positionH>
            <wp:positionV relativeFrom="paragraph">
              <wp:posOffset>-899960</wp:posOffset>
            </wp:positionV>
            <wp:extent cx="7778358" cy="10045874"/>
            <wp:effectExtent l="0" t="0" r="0" b="0"/>
            <wp:wrapNone/>
            <wp:docPr id="120453213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532132" name="Imagen 1204532132"/>
                    <pic:cNvPicPr/>
                  </pic:nvPicPr>
                  <pic:blipFill>
                    <a:blip r:embed="rId5">
                      <a:extLst>
                        <a:ext uri="{28A0092B-C50C-407E-A947-70E740481C1C}">
                          <a14:useLocalDpi xmlns:a14="http://schemas.microsoft.com/office/drawing/2010/main" val="0"/>
                        </a:ext>
                      </a:extLst>
                    </a:blip>
                    <a:stretch>
                      <a:fillRect/>
                    </a:stretch>
                  </pic:blipFill>
                  <pic:spPr>
                    <a:xfrm>
                      <a:off x="0" y="0"/>
                      <a:ext cx="7778358" cy="10045874"/>
                    </a:xfrm>
                    <a:prstGeom prst="rect">
                      <a:avLst/>
                    </a:prstGeom>
                  </pic:spPr>
                </pic:pic>
              </a:graphicData>
            </a:graphic>
            <wp14:sizeRelH relativeFrom="margin">
              <wp14:pctWidth>0</wp14:pctWidth>
            </wp14:sizeRelH>
            <wp14:sizeRelV relativeFrom="margin">
              <wp14:pctHeight>0</wp14:pctHeight>
            </wp14:sizeRelV>
          </wp:anchor>
        </w:drawing>
      </w:r>
      <w:r>
        <w:rPr>
          <w:rFonts w:ascii="Open Sans" w:hAnsi="Open Sans" w:cs="Open Sans"/>
          <w:b/>
          <w:bCs/>
        </w:rPr>
        <w:t xml:space="preserve">Ficha capítulo 6: Comentario </w:t>
      </w:r>
      <w:r w:rsidRPr="004169AF">
        <w:rPr>
          <w:rFonts w:ascii="Open Sans" w:hAnsi="Open Sans" w:cs="Open Sans"/>
          <w:b/>
          <w:bCs/>
        </w:rPr>
        <w:t xml:space="preserve">sentencia </w:t>
      </w:r>
      <w:r>
        <w:rPr>
          <w:rFonts w:ascii="Open Sans" w:hAnsi="Open Sans" w:cs="Open Sans"/>
          <w:b/>
          <w:bCs/>
        </w:rPr>
        <w:t>R</w:t>
      </w:r>
      <w:r w:rsidRPr="004169AF">
        <w:rPr>
          <w:rFonts w:ascii="Open Sans" w:hAnsi="Open Sans" w:cs="Open Sans"/>
          <w:b/>
          <w:bCs/>
        </w:rPr>
        <w:t xml:space="preserve">ol </w:t>
      </w:r>
      <w:proofErr w:type="spellStart"/>
      <w:r>
        <w:rPr>
          <w:rFonts w:ascii="Open Sans" w:hAnsi="Open Sans" w:cs="Open Sans"/>
          <w:b/>
          <w:bCs/>
        </w:rPr>
        <w:t>N</w:t>
      </w:r>
      <w:r w:rsidRPr="004169AF">
        <w:rPr>
          <w:rFonts w:ascii="Open Sans" w:hAnsi="Open Sans" w:cs="Open Sans"/>
          <w:b/>
          <w:bCs/>
        </w:rPr>
        <w:t>°</w:t>
      </w:r>
      <w:proofErr w:type="spellEnd"/>
      <w:r w:rsidRPr="004169AF">
        <w:rPr>
          <w:rFonts w:ascii="Open Sans" w:hAnsi="Open Sans" w:cs="Open Sans"/>
          <w:b/>
          <w:bCs/>
        </w:rPr>
        <w:t xml:space="preserve"> 33.377-2024: la declaración de vacancia por salud incompatible y el vaivén de la </w:t>
      </w:r>
      <w:r>
        <w:rPr>
          <w:rFonts w:ascii="Open Sans" w:hAnsi="Open Sans" w:cs="Open Sans"/>
          <w:b/>
          <w:bCs/>
        </w:rPr>
        <w:t>C</w:t>
      </w:r>
      <w:r w:rsidRPr="004169AF">
        <w:rPr>
          <w:rFonts w:ascii="Open Sans" w:hAnsi="Open Sans" w:cs="Open Sans"/>
          <w:b/>
          <w:bCs/>
        </w:rPr>
        <w:t xml:space="preserve">orte </w:t>
      </w:r>
      <w:r>
        <w:rPr>
          <w:rFonts w:ascii="Open Sans" w:hAnsi="Open Sans" w:cs="Open Sans"/>
          <w:b/>
          <w:bCs/>
        </w:rPr>
        <w:t>S</w:t>
      </w:r>
      <w:r w:rsidRPr="004169AF">
        <w:rPr>
          <w:rFonts w:ascii="Open Sans" w:hAnsi="Open Sans" w:cs="Open Sans"/>
          <w:b/>
          <w:bCs/>
        </w:rPr>
        <w:t>uprema</w:t>
      </w:r>
    </w:p>
    <w:p w14:paraId="2CC7A279" w14:textId="129CDC1C" w:rsidR="00157C74" w:rsidRPr="00970896" w:rsidRDefault="00157C74" w:rsidP="007D0E38">
      <w:pPr>
        <w:pStyle w:val="Prrafodelista"/>
        <w:rPr>
          <w:rFonts w:ascii="Open Sans" w:eastAsia="Open Sans" w:hAnsi="Open Sans" w:cs="Open Sans"/>
          <w:sz w:val="24"/>
          <w:szCs w:val="24"/>
        </w:rPr>
      </w:pPr>
    </w:p>
    <w:tbl>
      <w:tblPr>
        <w:tblStyle w:val="2"/>
        <w:tblW w:w="939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95"/>
        <w:gridCol w:w="7095"/>
      </w:tblGrid>
      <w:tr w:rsidR="00157C74" w14:paraId="490D2DB1" w14:textId="77777777" w:rsidTr="004169AF">
        <w:trPr>
          <w:trHeight w:val="530"/>
        </w:trPr>
        <w:tc>
          <w:tcPr>
            <w:tcW w:w="2295" w:type="dxa"/>
          </w:tcPr>
          <w:p w14:paraId="01B0BD60" w14:textId="77777777" w:rsidR="00157C74" w:rsidRDefault="00D2676D" w:rsidP="004169AF">
            <w:pPr>
              <w:widowControl w:val="0"/>
              <w:spacing w:line="240" w:lineRule="auto"/>
              <w:rPr>
                <w:rFonts w:ascii="Open Sans" w:eastAsia="Open Sans" w:hAnsi="Open Sans" w:cs="Open Sans"/>
                <w:sz w:val="18"/>
                <w:szCs w:val="18"/>
              </w:rPr>
            </w:pPr>
            <w:r>
              <w:rPr>
                <w:rFonts w:ascii="Open Sans" w:eastAsia="Open Sans" w:hAnsi="Open Sans" w:cs="Open Sans"/>
                <w:sz w:val="18"/>
                <w:szCs w:val="18"/>
              </w:rPr>
              <w:t xml:space="preserve">Tribunal </w:t>
            </w:r>
          </w:p>
        </w:tc>
        <w:tc>
          <w:tcPr>
            <w:tcW w:w="7095" w:type="dxa"/>
          </w:tcPr>
          <w:p w14:paraId="745DAEF0" w14:textId="6776DECC" w:rsidR="00157C74" w:rsidRPr="0069417B" w:rsidRDefault="007D0E38" w:rsidP="004169AF">
            <w:pPr>
              <w:widowControl w:val="0"/>
              <w:spacing w:line="240" w:lineRule="auto"/>
              <w:rPr>
                <w:rFonts w:ascii="Open Sans" w:eastAsia="Open Sans" w:hAnsi="Open Sans" w:cs="Open Sans"/>
                <w:bCs/>
                <w:sz w:val="18"/>
                <w:szCs w:val="18"/>
              </w:rPr>
            </w:pPr>
            <w:r>
              <w:rPr>
                <w:rFonts w:ascii="Open Sans" w:eastAsia="Open Sans" w:hAnsi="Open Sans" w:cs="Open Sans"/>
                <w:bCs/>
                <w:sz w:val="18"/>
                <w:szCs w:val="18"/>
                <w:lang w:val="en-US"/>
              </w:rPr>
              <w:t>Corte Suprema</w:t>
            </w:r>
            <w:r w:rsidR="00970896">
              <w:rPr>
                <w:rFonts w:ascii="Open Sans" w:eastAsia="Open Sans" w:hAnsi="Open Sans" w:cs="Open Sans"/>
                <w:bCs/>
                <w:sz w:val="18"/>
                <w:szCs w:val="18"/>
                <w:lang w:val="en-US"/>
              </w:rPr>
              <w:t xml:space="preserve"> </w:t>
            </w:r>
            <w:r w:rsidR="0069417B" w:rsidRPr="0069417B">
              <w:rPr>
                <w:rFonts w:ascii="Open Sans" w:eastAsia="Open Sans" w:hAnsi="Open Sans" w:cs="Open Sans"/>
                <w:bCs/>
                <w:sz w:val="18"/>
                <w:szCs w:val="18"/>
                <w:lang w:val="en-US"/>
              </w:rPr>
              <w:br/>
            </w:r>
          </w:p>
        </w:tc>
      </w:tr>
      <w:tr w:rsidR="00157C74" w14:paraId="73F37BCC" w14:textId="77777777" w:rsidTr="004169AF">
        <w:trPr>
          <w:trHeight w:val="530"/>
        </w:trPr>
        <w:tc>
          <w:tcPr>
            <w:tcW w:w="2295" w:type="dxa"/>
          </w:tcPr>
          <w:p w14:paraId="199EBD7D" w14:textId="77777777" w:rsidR="00157C74" w:rsidRDefault="00D2676D" w:rsidP="004169AF">
            <w:pPr>
              <w:widowControl w:val="0"/>
              <w:spacing w:line="240" w:lineRule="auto"/>
              <w:rPr>
                <w:rFonts w:ascii="Open Sans" w:eastAsia="Open Sans" w:hAnsi="Open Sans" w:cs="Open Sans"/>
                <w:sz w:val="18"/>
                <w:szCs w:val="18"/>
              </w:rPr>
            </w:pPr>
            <w:r>
              <w:rPr>
                <w:rFonts w:ascii="Open Sans" w:eastAsia="Open Sans" w:hAnsi="Open Sans" w:cs="Open Sans"/>
                <w:sz w:val="18"/>
                <w:szCs w:val="18"/>
              </w:rPr>
              <w:t>Rol</w:t>
            </w:r>
          </w:p>
        </w:tc>
        <w:tc>
          <w:tcPr>
            <w:tcW w:w="7095" w:type="dxa"/>
          </w:tcPr>
          <w:p w14:paraId="79D8243F" w14:textId="0E2E20B0" w:rsidR="00157C74" w:rsidRDefault="007D0E38" w:rsidP="004169AF">
            <w:pPr>
              <w:widowControl w:val="0"/>
              <w:spacing w:line="240" w:lineRule="auto"/>
              <w:rPr>
                <w:rFonts w:ascii="Open Sans" w:eastAsia="Open Sans" w:hAnsi="Open Sans" w:cs="Open Sans"/>
                <w:sz w:val="18"/>
                <w:szCs w:val="18"/>
              </w:rPr>
            </w:pPr>
            <w:r>
              <w:rPr>
                <w:rFonts w:ascii="Open Sans" w:eastAsia="Open Sans" w:hAnsi="Open Sans" w:cs="Open Sans"/>
                <w:bCs/>
                <w:sz w:val="18"/>
                <w:szCs w:val="18"/>
                <w:lang w:val="es-419"/>
              </w:rPr>
              <w:t>33.377</w:t>
            </w:r>
            <w:r w:rsidR="00970896">
              <w:rPr>
                <w:rFonts w:ascii="Open Sans" w:eastAsia="Open Sans" w:hAnsi="Open Sans" w:cs="Open Sans"/>
                <w:bCs/>
                <w:sz w:val="18"/>
                <w:szCs w:val="18"/>
                <w:lang w:val="es-419"/>
              </w:rPr>
              <w:t xml:space="preserve"> – 202</w:t>
            </w:r>
            <w:r>
              <w:rPr>
                <w:rFonts w:ascii="Open Sans" w:eastAsia="Open Sans" w:hAnsi="Open Sans" w:cs="Open Sans"/>
                <w:bCs/>
                <w:sz w:val="18"/>
                <w:szCs w:val="18"/>
                <w:lang w:val="es-419"/>
              </w:rPr>
              <w:t>4</w:t>
            </w:r>
            <w:r w:rsidR="00970896">
              <w:rPr>
                <w:rFonts w:ascii="Open Sans" w:eastAsia="Open Sans" w:hAnsi="Open Sans" w:cs="Open Sans"/>
                <w:bCs/>
                <w:sz w:val="18"/>
                <w:szCs w:val="18"/>
                <w:lang w:val="es-419"/>
              </w:rPr>
              <w:t xml:space="preserve"> </w:t>
            </w:r>
          </w:p>
        </w:tc>
      </w:tr>
      <w:tr w:rsidR="00157C74" w14:paraId="75303DAA" w14:textId="77777777" w:rsidTr="004169AF">
        <w:trPr>
          <w:trHeight w:val="530"/>
        </w:trPr>
        <w:tc>
          <w:tcPr>
            <w:tcW w:w="2295" w:type="dxa"/>
          </w:tcPr>
          <w:p w14:paraId="5EE12523" w14:textId="77777777" w:rsidR="00157C74" w:rsidRDefault="00D2676D" w:rsidP="004169AF">
            <w:pPr>
              <w:widowControl w:val="0"/>
              <w:spacing w:line="240" w:lineRule="auto"/>
              <w:rPr>
                <w:rFonts w:ascii="Open Sans" w:eastAsia="Open Sans" w:hAnsi="Open Sans" w:cs="Open Sans"/>
                <w:sz w:val="18"/>
                <w:szCs w:val="18"/>
              </w:rPr>
            </w:pPr>
            <w:r>
              <w:rPr>
                <w:rFonts w:ascii="Open Sans" w:eastAsia="Open Sans" w:hAnsi="Open Sans" w:cs="Open Sans"/>
                <w:sz w:val="18"/>
                <w:szCs w:val="18"/>
              </w:rPr>
              <w:t xml:space="preserve">Fecha </w:t>
            </w:r>
          </w:p>
        </w:tc>
        <w:tc>
          <w:tcPr>
            <w:tcW w:w="7095" w:type="dxa"/>
          </w:tcPr>
          <w:p w14:paraId="7E5A9C6F" w14:textId="0D94D003" w:rsidR="00157C74" w:rsidRDefault="007D0E38" w:rsidP="004169AF">
            <w:pPr>
              <w:widowControl w:val="0"/>
              <w:spacing w:line="240" w:lineRule="auto"/>
              <w:rPr>
                <w:rFonts w:ascii="Open Sans" w:eastAsia="Open Sans" w:hAnsi="Open Sans" w:cs="Open Sans"/>
                <w:sz w:val="18"/>
                <w:szCs w:val="18"/>
              </w:rPr>
            </w:pPr>
            <w:r>
              <w:rPr>
                <w:rFonts w:ascii="Open Sans" w:eastAsia="Open Sans" w:hAnsi="Open Sans" w:cs="Open Sans"/>
                <w:bCs/>
                <w:sz w:val="18"/>
                <w:szCs w:val="18"/>
                <w:lang w:val="es-419"/>
              </w:rPr>
              <w:t>31</w:t>
            </w:r>
            <w:r w:rsidR="0069417B" w:rsidRPr="0069417B">
              <w:rPr>
                <w:rFonts w:ascii="Open Sans" w:eastAsia="Open Sans" w:hAnsi="Open Sans" w:cs="Open Sans"/>
                <w:bCs/>
                <w:sz w:val="18"/>
                <w:szCs w:val="18"/>
                <w:lang w:val="es-419"/>
              </w:rPr>
              <w:t xml:space="preserve"> de </w:t>
            </w:r>
            <w:r w:rsidR="00970896">
              <w:rPr>
                <w:rFonts w:ascii="Open Sans" w:eastAsia="Open Sans" w:hAnsi="Open Sans" w:cs="Open Sans"/>
                <w:bCs/>
                <w:sz w:val="18"/>
                <w:szCs w:val="18"/>
                <w:lang w:val="es-419"/>
              </w:rPr>
              <w:t>diciembre</w:t>
            </w:r>
            <w:r w:rsidR="0069417B" w:rsidRPr="0069417B">
              <w:rPr>
                <w:rFonts w:ascii="Open Sans" w:eastAsia="Open Sans" w:hAnsi="Open Sans" w:cs="Open Sans"/>
                <w:bCs/>
                <w:sz w:val="18"/>
                <w:szCs w:val="18"/>
                <w:lang w:val="es-419"/>
              </w:rPr>
              <w:t xml:space="preserve"> de 2024</w:t>
            </w:r>
          </w:p>
        </w:tc>
      </w:tr>
      <w:tr w:rsidR="00157C74" w14:paraId="613A7244" w14:textId="77777777" w:rsidTr="004169AF">
        <w:trPr>
          <w:trHeight w:val="530"/>
        </w:trPr>
        <w:tc>
          <w:tcPr>
            <w:tcW w:w="2295" w:type="dxa"/>
          </w:tcPr>
          <w:p w14:paraId="56BA9FF6" w14:textId="77777777" w:rsidR="00157C74" w:rsidRDefault="00D2676D" w:rsidP="004169AF">
            <w:pPr>
              <w:widowControl w:val="0"/>
              <w:spacing w:line="240" w:lineRule="auto"/>
              <w:rPr>
                <w:rFonts w:ascii="Open Sans" w:eastAsia="Open Sans" w:hAnsi="Open Sans" w:cs="Open Sans"/>
                <w:sz w:val="18"/>
                <w:szCs w:val="18"/>
              </w:rPr>
            </w:pPr>
            <w:r>
              <w:rPr>
                <w:rFonts w:ascii="Open Sans" w:eastAsia="Open Sans" w:hAnsi="Open Sans" w:cs="Open Sans"/>
                <w:sz w:val="18"/>
                <w:szCs w:val="18"/>
              </w:rPr>
              <w:t>Materia</w:t>
            </w:r>
          </w:p>
        </w:tc>
        <w:tc>
          <w:tcPr>
            <w:tcW w:w="7095" w:type="dxa"/>
          </w:tcPr>
          <w:p w14:paraId="50978E49" w14:textId="113A45F5" w:rsidR="00157C74" w:rsidRDefault="007D0E38" w:rsidP="004169AF">
            <w:pPr>
              <w:widowControl w:val="0"/>
              <w:spacing w:line="240" w:lineRule="auto"/>
              <w:rPr>
                <w:rFonts w:ascii="Open Sans" w:eastAsia="Open Sans" w:hAnsi="Open Sans" w:cs="Open Sans"/>
                <w:sz w:val="18"/>
                <w:szCs w:val="18"/>
              </w:rPr>
            </w:pPr>
            <w:r>
              <w:rPr>
                <w:rFonts w:ascii="Open Sans" w:eastAsia="Open Sans" w:hAnsi="Open Sans" w:cs="Open Sans"/>
                <w:bCs/>
                <w:sz w:val="18"/>
                <w:szCs w:val="18"/>
                <w:lang w:val="es-419"/>
              </w:rPr>
              <w:t>Declaración de salud incompatible de un funcionario público</w:t>
            </w:r>
            <w:r w:rsidR="00970896">
              <w:rPr>
                <w:rFonts w:ascii="Open Sans" w:eastAsia="Open Sans" w:hAnsi="Open Sans" w:cs="Open Sans"/>
                <w:bCs/>
                <w:sz w:val="18"/>
                <w:szCs w:val="18"/>
                <w:lang w:val="es-419"/>
              </w:rPr>
              <w:t xml:space="preserve"> </w:t>
            </w:r>
          </w:p>
        </w:tc>
      </w:tr>
      <w:tr w:rsidR="00157C74" w14:paraId="27ABDDDC" w14:textId="77777777" w:rsidTr="004169AF">
        <w:trPr>
          <w:trHeight w:val="530"/>
        </w:trPr>
        <w:tc>
          <w:tcPr>
            <w:tcW w:w="2295" w:type="dxa"/>
          </w:tcPr>
          <w:p w14:paraId="1A3E7C30" w14:textId="77777777" w:rsidR="00157C74" w:rsidRDefault="00D2676D" w:rsidP="004169AF">
            <w:pPr>
              <w:widowControl w:val="0"/>
              <w:spacing w:line="240" w:lineRule="auto"/>
              <w:rPr>
                <w:rFonts w:ascii="Open Sans" w:eastAsia="Open Sans" w:hAnsi="Open Sans" w:cs="Open Sans"/>
                <w:sz w:val="18"/>
                <w:szCs w:val="18"/>
              </w:rPr>
            </w:pPr>
            <w:r>
              <w:rPr>
                <w:rFonts w:ascii="Open Sans" w:eastAsia="Open Sans" w:hAnsi="Open Sans" w:cs="Open Sans"/>
                <w:sz w:val="18"/>
                <w:szCs w:val="18"/>
              </w:rPr>
              <w:t>Submateria</w:t>
            </w:r>
          </w:p>
        </w:tc>
        <w:tc>
          <w:tcPr>
            <w:tcW w:w="7095" w:type="dxa"/>
          </w:tcPr>
          <w:p w14:paraId="59322756" w14:textId="6ABD9842" w:rsidR="007D0E38" w:rsidRDefault="007D0E38" w:rsidP="004169AF">
            <w:pPr>
              <w:widowControl w:val="0"/>
              <w:spacing w:line="240" w:lineRule="auto"/>
              <w:rPr>
                <w:rFonts w:ascii="Open Sans" w:eastAsia="Open Sans" w:hAnsi="Open Sans" w:cs="Open Sans"/>
                <w:bCs/>
                <w:sz w:val="18"/>
                <w:szCs w:val="18"/>
                <w:lang w:val="es-419"/>
              </w:rPr>
            </w:pPr>
            <w:r>
              <w:rPr>
                <w:rFonts w:ascii="Open Sans" w:eastAsia="Open Sans" w:hAnsi="Open Sans" w:cs="Open Sans"/>
                <w:bCs/>
                <w:sz w:val="18"/>
                <w:szCs w:val="18"/>
                <w:lang w:val="es-419"/>
              </w:rPr>
              <w:t>Cambio de jurisprudencia, giros jurisprudenciales y nuevo estudio de precedentes</w:t>
            </w:r>
          </w:p>
          <w:p w14:paraId="6A2EFCF9" w14:textId="40A2DEB8" w:rsidR="00157C74" w:rsidRDefault="00157C74" w:rsidP="004169AF">
            <w:pPr>
              <w:widowControl w:val="0"/>
              <w:spacing w:line="240" w:lineRule="auto"/>
              <w:rPr>
                <w:rFonts w:ascii="Open Sans" w:eastAsia="Open Sans" w:hAnsi="Open Sans" w:cs="Open Sans"/>
                <w:sz w:val="18"/>
                <w:szCs w:val="18"/>
              </w:rPr>
            </w:pPr>
          </w:p>
        </w:tc>
      </w:tr>
      <w:tr w:rsidR="00157C74" w14:paraId="60FC9625" w14:textId="77777777" w:rsidTr="004169AF">
        <w:trPr>
          <w:trHeight w:val="530"/>
        </w:trPr>
        <w:tc>
          <w:tcPr>
            <w:tcW w:w="2295" w:type="dxa"/>
          </w:tcPr>
          <w:p w14:paraId="076B0F00" w14:textId="77777777" w:rsidR="00157C74" w:rsidRDefault="00D2676D" w:rsidP="004169AF">
            <w:pPr>
              <w:widowControl w:val="0"/>
              <w:spacing w:line="240" w:lineRule="auto"/>
              <w:rPr>
                <w:rFonts w:ascii="Open Sans" w:eastAsia="Open Sans" w:hAnsi="Open Sans" w:cs="Open Sans"/>
                <w:sz w:val="18"/>
                <w:szCs w:val="18"/>
              </w:rPr>
            </w:pPr>
            <w:r>
              <w:rPr>
                <w:rFonts w:ascii="Open Sans" w:eastAsia="Open Sans" w:hAnsi="Open Sans" w:cs="Open Sans"/>
                <w:sz w:val="18"/>
                <w:szCs w:val="18"/>
              </w:rPr>
              <w:t>Procedimiento</w:t>
            </w:r>
          </w:p>
        </w:tc>
        <w:tc>
          <w:tcPr>
            <w:tcW w:w="7095" w:type="dxa"/>
          </w:tcPr>
          <w:p w14:paraId="312B30D1" w14:textId="44462829" w:rsidR="00157C74" w:rsidRDefault="007D0E38" w:rsidP="004169AF">
            <w:pPr>
              <w:widowControl w:val="0"/>
              <w:spacing w:line="240" w:lineRule="auto"/>
              <w:rPr>
                <w:rFonts w:ascii="Open Sans" w:eastAsia="Open Sans" w:hAnsi="Open Sans" w:cs="Open Sans"/>
                <w:sz w:val="18"/>
                <w:szCs w:val="18"/>
              </w:rPr>
            </w:pPr>
            <w:r>
              <w:rPr>
                <w:rFonts w:ascii="Open Sans" w:eastAsia="Open Sans" w:hAnsi="Open Sans" w:cs="Open Sans"/>
                <w:bCs/>
                <w:sz w:val="18"/>
                <w:szCs w:val="18"/>
                <w:lang w:val="es-419"/>
              </w:rPr>
              <w:t>Acción de Protección</w:t>
            </w:r>
            <w:r w:rsidR="00970896">
              <w:rPr>
                <w:rFonts w:ascii="Open Sans" w:eastAsia="Open Sans" w:hAnsi="Open Sans" w:cs="Open Sans"/>
                <w:bCs/>
                <w:sz w:val="18"/>
                <w:szCs w:val="18"/>
                <w:lang w:val="es-419"/>
              </w:rPr>
              <w:t xml:space="preserve"> </w:t>
            </w:r>
          </w:p>
        </w:tc>
      </w:tr>
      <w:tr w:rsidR="00157C74" w14:paraId="2FFDE739" w14:textId="77777777" w:rsidTr="004169AF">
        <w:trPr>
          <w:trHeight w:val="530"/>
        </w:trPr>
        <w:tc>
          <w:tcPr>
            <w:tcW w:w="2295" w:type="dxa"/>
          </w:tcPr>
          <w:p w14:paraId="5518E993" w14:textId="77777777" w:rsidR="00157C74" w:rsidRDefault="00D2676D" w:rsidP="004169AF">
            <w:pPr>
              <w:widowControl w:val="0"/>
              <w:spacing w:line="240" w:lineRule="auto"/>
              <w:rPr>
                <w:rFonts w:ascii="Open Sans" w:eastAsia="Open Sans" w:hAnsi="Open Sans" w:cs="Open Sans"/>
                <w:sz w:val="18"/>
                <w:szCs w:val="18"/>
              </w:rPr>
            </w:pPr>
            <w:r>
              <w:rPr>
                <w:rFonts w:ascii="Open Sans" w:eastAsia="Open Sans" w:hAnsi="Open Sans" w:cs="Open Sans"/>
                <w:sz w:val="18"/>
                <w:szCs w:val="18"/>
              </w:rPr>
              <w:t>Hechos</w:t>
            </w:r>
          </w:p>
        </w:tc>
        <w:tc>
          <w:tcPr>
            <w:tcW w:w="7095" w:type="dxa"/>
          </w:tcPr>
          <w:p w14:paraId="37C587F7" w14:textId="43288AB3" w:rsidR="00157C74" w:rsidRPr="0069417B" w:rsidRDefault="008E4268" w:rsidP="004169AF">
            <w:pPr>
              <w:widowControl w:val="0"/>
              <w:spacing w:line="240" w:lineRule="auto"/>
              <w:jc w:val="both"/>
              <w:rPr>
                <w:rFonts w:ascii="Open Sans" w:eastAsia="Open Sans" w:hAnsi="Open Sans" w:cs="Open Sans"/>
                <w:sz w:val="18"/>
                <w:szCs w:val="18"/>
                <w:lang w:val="es-419"/>
              </w:rPr>
            </w:pPr>
            <w:r>
              <w:rPr>
                <w:rFonts w:ascii="Open Sans" w:eastAsia="Open Sans" w:hAnsi="Open Sans" w:cs="Open Sans"/>
                <w:sz w:val="18"/>
                <w:szCs w:val="18"/>
                <w:lang w:val="es-419"/>
              </w:rPr>
              <w:t>La Corte Suprema</w:t>
            </w:r>
            <w:r w:rsidR="006F331E">
              <w:rPr>
                <w:rFonts w:ascii="Open Sans" w:eastAsia="Open Sans" w:hAnsi="Open Sans" w:cs="Open Sans"/>
                <w:sz w:val="18"/>
                <w:szCs w:val="18"/>
                <w:lang w:val="es-419"/>
              </w:rPr>
              <w:t>, a través de su tercera sala,</w:t>
            </w:r>
            <w:r>
              <w:rPr>
                <w:rFonts w:ascii="Open Sans" w:eastAsia="Open Sans" w:hAnsi="Open Sans" w:cs="Open Sans"/>
                <w:sz w:val="18"/>
                <w:szCs w:val="18"/>
                <w:lang w:val="es-419"/>
              </w:rPr>
              <w:t xml:space="preserve"> se pronuncia sobre un caso de declaración de salud incompatible de un funcionario público</w:t>
            </w:r>
            <w:r w:rsidR="006F331E">
              <w:rPr>
                <w:rFonts w:ascii="Open Sans" w:eastAsia="Open Sans" w:hAnsi="Open Sans" w:cs="Open Sans"/>
                <w:sz w:val="18"/>
                <w:szCs w:val="18"/>
                <w:lang w:val="es-419"/>
              </w:rPr>
              <w:t xml:space="preserve"> dando un giro a lo que había sido su jurisprudencia mayoritaria </w:t>
            </w:r>
            <w:r w:rsidR="00425798">
              <w:rPr>
                <w:rFonts w:ascii="Open Sans" w:eastAsia="Open Sans" w:hAnsi="Open Sans" w:cs="Open Sans"/>
                <w:sz w:val="18"/>
                <w:szCs w:val="18"/>
                <w:lang w:val="es-419"/>
              </w:rPr>
              <w:t xml:space="preserve">en los últimos años, incluyendo incluso una prevención de un ministro y una abogada integrante </w:t>
            </w:r>
            <w:r w:rsidR="00983BBB">
              <w:rPr>
                <w:rFonts w:ascii="Open Sans" w:eastAsia="Open Sans" w:hAnsi="Open Sans" w:cs="Open Sans"/>
                <w:sz w:val="18"/>
                <w:szCs w:val="18"/>
                <w:lang w:val="es-419"/>
              </w:rPr>
              <w:t>que señalan expresamente que han modificado su criterio después de un mejor estudio de la materia.</w:t>
            </w:r>
          </w:p>
        </w:tc>
      </w:tr>
      <w:tr w:rsidR="00157C74" w14:paraId="70CD32CD" w14:textId="77777777" w:rsidTr="004169AF">
        <w:trPr>
          <w:trHeight w:val="530"/>
        </w:trPr>
        <w:tc>
          <w:tcPr>
            <w:tcW w:w="2295" w:type="dxa"/>
          </w:tcPr>
          <w:p w14:paraId="3A9C3D0A" w14:textId="77777777" w:rsidR="00157C74" w:rsidRDefault="00D2676D" w:rsidP="004169AF">
            <w:pPr>
              <w:widowControl w:val="0"/>
              <w:spacing w:line="240" w:lineRule="auto"/>
              <w:rPr>
                <w:rFonts w:ascii="Open Sans" w:eastAsia="Open Sans" w:hAnsi="Open Sans" w:cs="Open Sans"/>
                <w:sz w:val="18"/>
                <w:szCs w:val="18"/>
              </w:rPr>
            </w:pPr>
            <w:r>
              <w:rPr>
                <w:rFonts w:ascii="Open Sans" w:eastAsia="Open Sans" w:hAnsi="Open Sans" w:cs="Open Sans"/>
                <w:sz w:val="18"/>
                <w:szCs w:val="18"/>
              </w:rPr>
              <w:t>Tema central discutido</w:t>
            </w:r>
          </w:p>
        </w:tc>
        <w:tc>
          <w:tcPr>
            <w:tcW w:w="7095" w:type="dxa"/>
          </w:tcPr>
          <w:p w14:paraId="16DE7F7A" w14:textId="19978BB1" w:rsidR="00157C74" w:rsidRPr="0069417B" w:rsidRDefault="00E666F9" w:rsidP="004169AF">
            <w:pPr>
              <w:widowControl w:val="0"/>
              <w:spacing w:line="240" w:lineRule="auto"/>
              <w:jc w:val="both"/>
              <w:rPr>
                <w:rFonts w:ascii="Open Sans" w:eastAsia="Open Sans" w:hAnsi="Open Sans" w:cs="Open Sans"/>
                <w:sz w:val="18"/>
                <w:szCs w:val="18"/>
                <w:lang w:val="es-419"/>
              </w:rPr>
            </w:pPr>
            <w:r>
              <w:rPr>
                <w:rFonts w:ascii="Open Sans" w:eastAsia="Open Sans" w:hAnsi="Open Sans" w:cs="Open Sans"/>
                <w:sz w:val="18"/>
                <w:szCs w:val="18"/>
                <w:lang w:val="es-419"/>
              </w:rPr>
              <w:t xml:space="preserve">El asunto central discutido es si basta con </w:t>
            </w:r>
            <w:r w:rsidR="009B6C24">
              <w:rPr>
                <w:rFonts w:ascii="Open Sans" w:eastAsia="Open Sans" w:hAnsi="Open Sans" w:cs="Open Sans"/>
                <w:sz w:val="18"/>
                <w:szCs w:val="18"/>
                <w:lang w:val="es-419"/>
              </w:rPr>
              <w:t xml:space="preserve">el que un funcionario público haga uso por más de seis meses de licencia médica en un periodo de dos años </w:t>
            </w:r>
            <w:r w:rsidR="005B513A">
              <w:rPr>
                <w:rFonts w:ascii="Open Sans" w:eastAsia="Open Sans" w:hAnsi="Open Sans" w:cs="Open Sans"/>
                <w:sz w:val="18"/>
                <w:szCs w:val="18"/>
                <w:lang w:val="es-419"/>
              </w:rPr>
              <w:t xml:space="preserve">y si puede declararse dicha incompatibilidad aun cuando la </w:t>
            </w:r>
            <w:proofErr w:type="spellStart"/>
            <w:r w:rsidR="005B513A">
              <w:rPr>
                <w:rFonts w:ascii="Open Sans" w:eastAsia="Open Sans" w:hAnsi="Open Sans" w:cs="Open Sans"/>
                <w:sz w:val="18"/>
                <w:szCs w:val="18"/>
                <w:lang w:val="es-419"/>
              </w:rPr>
              <w:t>Compin</w:t>
            </w:r>
            <w:proofErr w:type="spellEnd"/>
            <w:r w:rsidR="005B513A">
              <w:rPr>
                <w:rFonts w:ascii="Open Sans" w:eastAsia="Open Sans" w:hAnsi="Open Sans" w:cs="Open Sans"/>
                <w:sz w:val="18"/>
                <w:szCs w:val="18"/>
                <w:lang w:val="es-419"/>
              </w:rPr>
              <w:t xml:space="preserve"> haya informado que la salud del servidor es recuperable</w:t>
            </w:r>
            <w:r w:rsidR="00C40981">
              <w:rPr>
                <w:rFonts w:ascii="Open Sans" w:eastAsia="Open Sans" w:hAnsi="Open Sans" w:cs="Open Sans"/>
                <w:sz w:val="18"/>
                <w:szCs w:val="18"/>
                <w:lang w:val="es-419"/>
              </w:rPr>
              <w:t xml:space="preserve">. </w:t>
            </w:r>
            <w:r w:rsidR="00CA2806">
              <w:rPr>
                <w:rFonts w:ascii="Open Sans" w:eastAsia="Open Sans" w:hAnsi="Open Sans" w:cs="Open Sans"/>
                <w:sz w:val="18"/>
                <w:szCs w:val="18"/>
                <w:lang w:val="es-419"/>
              </w:rPr>
              <w:t>La jurisprudencia mayoritaria hasta esa fecha decía que no era posible</w:t>
            </w:r>
            <w:r w:rsidR="00422DC0">
              <w:rPr>
                <w:rFonts w:ascii="Open Sans" w:eastAsia="Open Sans" w:hAnsi="Open Sans" w:cs="Open Sans"/>
                <w:sz w:val="18"/>
                <w:szCs w:val="18"/>
                <w:lang w:val="es-419"/>
              </w:rPr>
              <w:t xml:space="preserve">, dando un vuelco la sentencia analizada, pasando a ser mayoritario un criterio que </w:t>
            </w:r>
            <w:r w:rsidR="00BF368C">
              <w:rPr>
                <w:rFonts w:ascii="Open Sans" w:eastAsia="Open Sans" w:hAnsi="Open Sans" w:cs="Open Sans"/>
                <w:sz w:val="18"/>
                <w:szCs w:val="18"/>
                <w:lang w:val="es-419"/>
              </w:rPr>
              <w:t>llevaba numerosos casos siendo minoritario.</w:t>
            </w:r>
          </w:p>
        </w:tc>
      </w:tr>
      <w:tr w:rsidR="00157C74" w14:paraId="2E7B6016" w14:textId="77777777" w:rsidTr="004169AF">
        <w:trPr>
          <w:trHeight w:val="815"/>
        </w:trPr>
        <w:tc>
          <w:tcPr>
            <w:tcW w:w="2295" w:type="dxa"/>
          </w:tcPr>
          <w:p w14:paraId="0B22C741" w14:textId="77777777" w:rsidR="00157C74" w:rsidRDefault="00D2676D" w:rsidP="004169AF">
            <w:pPr>
              <w:widowControl w:val="0"/>
              <w:spacing w:line="240" w:lineRule="auto"/>
              <w:rPr>
                <w:rFonts w:ascii="Open Sans" w:eastAsia="Open Sans" w:hAnsi="Open Sans" w:cs="Open Sans"/>
                <w:sz w:val="18"/>
                <w:szCs w:val="18"/>
              </w:rPr>
            </w:pPr>
            <w:r>
              <w:rPr>
                <w:rFonts w:ascii="Open Sans" w:eastAsia="Open Sans" w:hAnsi="Open Sans" w:cs="Open Sans"/>
                <w:sz w:val="18"/>
                <w:szCs w:val="18"/>
              </w:rPr>
              <w:t>Considerandos relevantes</w:t>
            </w:r>
          </w:p>
        </w:tc>
        <w:tc>
          <w:tcPr>
            <w:tcW w:w="7095" w:type="dxa"/>
          </w:tcPr>
          <w:p w14:paraId="7C0ADE7A" w14:textId="225D23D1" w:rsidR="00BF368C" w:rsidRDefault="002753C4" w:rsidP="004169AF">
            <w:pPr>
              <w:widowControl w:val="0"/>
              <w:spacing w:line="240" w:lineRule="auto"/>
              <w:jc w:val="both"/>
              <w:rPr>
                <w:rFonts w:ascii="Open Sans" w:eastAsia="Open Sans" w:hAnsi="Open Sans" w:cs="Open Sans"/>
                <w:sz w:val="18"/>
                <w:szCs w:val="18"/>
              </w:rPr>
            </w:pPr>
            <w:r w:rsidRPr="002753C4">
              <w:rPr>
                <w:rFonts w:ascii="Open Sans" w:eastAsia="Open Sans" w:hAnsi="Open Sans" w:cs="Open Sans"/>
                <w:sz w:val="18"/>
                <w:szCs w:val="18"/>
              </w:rPr>
              <w:t xml:space="preserve">Cuarto: Que, al respecto, los jefes de servicios y los alcaldes tienen la facultad legal de declarar la vacancia por “salud irrecuperable o incompatible con el desempeño del cargo”, según disponen los artículos 150, letra a) y 147, letra a) de las leyes </w:t>
            </w:r>
            <w:proofErr w:type="spellStart"/>
            <w:r w:rsidRPr="002753C4">
              <w:rPr>
                <w:rFonts w:ascii="Open Sans" w:eastAsia="Open Sans" w:hAnsi="Open Sans" w:cs="Open Sans"/>
                <w:sz w:val="18"/>
                <w:szCs w:val="18"/>
              </w:rPr>
              <w:t>N°</w:t>
            </w:r>
            <w:proofErr w:type="spellEnd"/>
            <w:r w:rsidRPr="002753C4">
              <w:rPr>
                <w:rFonts w:ascii="Open Sans" w:eastAsia="Open Sans" w:hAnsi="Open Sans" w:cs="Open Sans"/>
                <w:sz w:val="18"/>
                <w:szCs w:val="18"/>
              </w:rPr>
              <w:t xml:space="preserve"> 18.834 y </w:t>
            </w:r>
            <w:proofErr w:type="spellStart"/>
            <w:r w:rsidRPr="002753C4">
              <w:rPr>
                <w:rFonts w:ascii="Open Sans" w:eastAsia="Open Sans" w:hAnsi="Open Sans" w:cs="Open Sans"/>
                <w:sz w:val="18"/>
                <w:szCs w:val="18"/>
              </w:rPr>
              <w:t>N°</w:t>
            </w:r>
            <w:proofErr w:type="spellEnd"/>
            <w:r w:rsidRPr="002753C4">
              <w:rPr>
                <w:rFonts w:ascii="Open Sans" w:eastAsia="Open Sans" w:hAnsi="Open Sans" w:cs="Open Sans"/>
                <w:sz w:val="18"/>
                <w:szCs w:val="18"/>
              </w:rPr>
              <w:t xml:space="preserve"> 18.883, respectivamente.</w:t>
            </w:r>
          </w:p>
          <w:p w14:paraId="4C2E52FB" w14:textId="1B7CB572" w:rsidR="002753C4" w:rsidRDefault="00900151" w:rsidP="004169AF">
            <w:pPr>
              <w:widowControl w:val="0"/>
              <w:spacing w:line="240" w:lineRule="auto"/>
              <w:jc w:val="both"/>
              <w:rPr>
                <w:rFonts w:ascii="Open Sans" w:eastAsia="Open Sans" w:hAnsi="Open Sans" w:cs="Open Sans"/>
                <w:sz w:val="18"/>
                <w:szCs w:val="18"/>
              </w:rPr>
            </w:pPr>
            <w:r w:rsidRPr="00900151">
              <w:rPr>
                <w:rFonts w:ascii="Open Sans" w:eastAsia="Open Sans" w:hAnsi="Open Sans" w:cs="Open Sans"/>
                <w:sz w:val="18"/>
                <w:szCs w:val="18"/>
              </w:rPr>
              <w:t xml:space="preserve">Tratándose de la declaración de vacancia por salud incompatible con el desempeño del cargo, el inciso primero artículo 151 del Estatuto Administrativo dispone: “Artículo 151.- El </w:t>
            </w:r>
            <w:proofErr w:type="gramStart"/>
            <w:r w:rsidRPr="00900151">
              <w:rPr>
                <w:rFonts w:ascii="Open Sans" w:eastAsia="Open Sans" w:hAnsi="Open Sans" w:cs="Open Sans"/>
                <w:sz w:val="18"/>
                <w:szCs w:val="18"/>
              </w:rPr>
              <w:t>Jefe</w:t>
            </w:r>
            <w:proofErr w:type="gramEnd"/>
            <w:r w:rsidRPr="00900151">
              <w:rPr>
                <w:rFonts w:ascii="Open Sans" w:eastAsia="Open Sans" w:hAnsi="Open Sans" w:cs="Open Sans"/>
                <w:sz w:val="18"/>
                <w:szCs w:val="18"/>
              </w:rPr>
              <w:t xml:space="preserve"> superior del servicio podrá considerar como salud incompatible con el desempeño del cargo, haber hecho uso de licencia médica en un lapso continuo o discontinuo superior a seis meses en los últimos dos años, sin mediar declaración de salud irrecuperable.” Y su inciso tercero agregado por el artículo 23 de la Ley </w:t>
            </w:r>
            <w:proofErr w:type="spellStart"/>
            <w:r w:rsidRPr="00900151">
              <w:rPr>
                <w:rFonts w:ascii="Open Sans" w:eastAsia="Open Sans" w:hAnsi="Open Sans" w:cs="Open Sans"/>
                <w:sz w:val="18"/>
                <w:szCs w:val="18"/>
              </w:rPr>
              <w:t>N.°</w:t>
            </w:r>
            <w:proofErr w:type="spellEnd"/>
            <w:r w:rsidRPr="00900151">
              <w:rPr>
                <w:rFonts w:ascii="Open Sans" w:eastAsia="Open Sans" w:hAnsi="Open Sans" w:cs="Open Sans"/>
                <w:sz w:val="18"/>
                <w:szCs w:val="18"/>
              </w:rPr>
              <w:t xml:space="preserve"> 21.050, añade: “El jefe superior del servicio, para ejercer la facultad señalada en el inciso primero, deberá requerir previamente a la Comisión de Medicina Preventiva e Invalidez la evaluación del funcionario respecto a la condición de </w:t>
            </w:r>
            <w:proofErr w:type="spellStart"/>
            <w:r w:rsidRPr="00900151">
              <w:rPr>
                <w:rFonts w:ascii="Open Sans" w:eastAsia="Open Sans" w:hAnsi="Open Sans" w:cs="Open Sans"/>
                <w:sz w:val="18"/>
                <w:szCs w:val="18"/>
              </w:rPr>
              <w:t>irrecuperabilidad</w:t>
            </w:r>
            <w:proofErr w:type="spellEnd"/>
            <w:r w:rsidRPr="00900151">
              <w:rPr>
                <w:rFonts w:ascii="Open Sans" w:eastAsia="Open Sans" w:hAnsi="Open Sans" w:cs="Open Sans"/>
                <w:sz w:val="18"/>
                <w:szCs w:val="18"/>
              </w:rPr>
              <w:t xml:space="preserve"> de su salud y que no le permite desempeñar el cargo.” Idénticas exigencias se establecerán en los incisos primero y final del </w:t>
            </w:r>
            <w:r w:rsidR="004169AF">
              <w:rPr>
                <w:rFonts w:ascii="Open Sans" w:hAnsi="Open Sans" w:cs="Open Sans"/>
                <w:b/>
                <w:bCs/>
                <w:noProof/>
              </w:rPr>
              <w:lastRenderedPageBreak/>
              <w:drawing>
                <wp:anchor distT="0" distB="0" distL="114300" distR="114300" simplePos="0" relativeHeight="251657215" behindDoc="1" locked="0" layoutInCell="1" allowOverlap="1" wp14:anchorId="3E01A988" wp14:editId="02678B4F">
                  <wp:simplePos x="0" y="0"/>
                  <wp:positionH relativeFrom="page">
                    <wp:posOffset>-2380578</wp:posOffset>
                  </wp:positionH>
                  <wp:positionV relativeFrom="paragraph">
                    <wp:posOffset>-975995</wp:posOffset>
                  </wp:positionV>
                  <wp:extent cx="7778358" cy="10045874"/>
                  <wp:effectExtent l="0" t="0" r="0" b="0"/>
                  <wp:wrapNone/>
                  <wp:docPr id="20841460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532132" name="Imagen 1204532132"/>
                          <pic:cNvPicPr/>
                        </pic:nvPicPr>
                        <pic:blipFill>
                          <a:blip r:embed="rId5">
                            <a:extLst>
                              <a:ext uri="{28A0092B-C50C-407E-A947-70E740481C1C}">
                                <a14:useLocalDpi xmlns:a14="http://schemas.microsoft.com/office/drawing/2010/main" val="0"/>
                              </a:ext>
                            </a:extLst>
                          </a:blip>
                          <a:stretch>
                            <a:fillRect/>
                          </a:stretch>
                        </pic:blipFill>
                        <pic:spPr>
                          <a:xfrm>
                            <a:off x="0" y="0"/>
                            <a:ext cx="7778358" cy="10045874"/>
                          </a:xfrm>
                          <a:prstGeom prst="rect">
                            <a:avLst/>
                          </a:prstGeom>
                        </pic:spPr>
                      </pic:pic>
                    </a:graphicData>
                  </a:graphic>
                  <wp14:sizeRelH relativeFrom="margin">
                    <wp14:pctWidth>0</wp14:pctWidth>
                  </wp14:sizeRelH>
                  <wp14:sizeRelV relativeFrom="margin">
                    <wp14:pctHeight>0</wp14:pctHeight>
                  </wp14:sizeRelV>
                </wp:anchor>
              </w:drawing>
            </w:r>
            <w:r w:rsidRPr="00900151">
              <w:rPr>
                <w:rFonts w:ascii="Open Sans" w:eastAsia="Open Sans" w:hAnsi="Open Sans" w:cs="Open Sans"/>
                <w:sz w:val="18"/>
                <w:szCs w:val="18"/>
              </w:rPr>
              <w:t xml:space="preserve">artículo 148 de la Ley </w:t>
            </w:r>
            <w:proofErr w:type="spellStart"/>
            <w:r w:rsidRPr="00900151">
              <w:rPr>
                <w:rFonts w:ascii="Open Sans" w:eastAsia="Open Sans" w:hAnsi="Open Sans" w:cs="Open Sans"/>
                <w:sz w:val="18"/>
                <w:szCs w:val="18"/>
              </w:rPr>
              <w:t>N°</w:t>
            </w:r>
            <w:proofErr w:type="spellEnd"/>
            <w:r w:rsidRPr="00900151">
              <w:rPr>
                <w:rFonts w:ascii="Open Sans" w:eastAsia="Open Sans" w:hAnsi="Open Sans" w:cs="Open Sans"/>
                <w:sz w:val="18"/>
                <w:szCs w:val="18"/>
              </w:rPr>
              <w:t xml:space="preserve"> 18.883, Estatuto Administrativo de los </w:t>
            </w:r>
            <w:proofErr w:type="gramStart"/>
            <w:r w:rsidRPr="00900151">
              <w:rPr>
                <w:rFonts w:ascii="Open Sans" w:eastAsia="Open Sans" w:hAnsi="Open Sans" w:cs="Open Sans"/>
                <w:sz w:val="18"/>
                <w:szCs w:val="18"/>
              </w:rPr>
              <w:t>Funcionarios</w:t>
            </w:r>
            <w:proofErr w:type="gramEnd"/>
            <w:r w:rsidRPr="00900151">
              <w:rPr>
                <w:rFonts w:ascii="Open Sans" w:eastAsia="Open Sans" w:hAnsi="Open Sans" w:cs="Open Sans"/>
                <w:sz w:val="18"/>
                <w:szCs w:val="18"/>
              </w:rPr>
              <w:t xml:space="preserve"> Municipales.</w:t>
            </w:r>
          </w:p>
          <w:p w14:paraId="39668724" w14:textId="6683B5E1" w:rsidR="00900151" w:rsidRDefault="00900151" w:rsidP="004169AF">
            <w:pPr>
              <w:widowControl w:val="0"/>
              <w:spacing w:line="240" w:lineRule="auto"/>
              <w:jc w:val="both"/>
              <w:rPr>
                <w:rFonts w:ascii="Open Sans" w:eastAsia="Open Sans" w:hAnsi="Open Sans" w:cs="Open Sans"/>
                <w:sz w:val="18"/>
                <w:szCs w:val="18"/>
              </w:rPr>
            </w:pPr>
            <w:r w:rsidRPr="00900151">
              <w:rPr>
                <w:rFonts w:ascii="Open Sans" w:eastAsia="Open Sans" w:hAnsi="Open Sans" w:cs="Open Sans"/>
                <w:sz w:val="18"/>
                <w:szCs w:val="18"/>
              </w:rPr>
              <w:t>Y ambos cuerpos legales establecen, para el caso de que la salud del funcionario sea declarada irrecuperable, una regla especial de retiro y otra de pago de remuneraciones: “Si se hubiere declarado irrecuperable la salud de un funcionario, éste deberá retirarse de la Administración</w:t>
            </w:r>
            <w:r w:rsidR="0041541E" w:rsidRPr="0041541E">
              <w:t xml:space="preserve"> </w:t>
            </w:r>
            <w:r w:rsidR="0041541E" w:rsidRPr="0041541E">
              <w:rPr>
                <w:rFonts w:ascii="Open Sans" w:eastAsia="Open Sans" w:hAnsi="Open Sans" w:cs="Open Sans"/>
                <w:sz w:val="18"/>
                <w:szCs w:val="18"/>
              </w:rPr>
              <w:t xml:space="preserve">dentro del plazo de seis meses, contado desde la fecha en que se le notifique la resolución por la cual se declare su </w:t>
            </w:r>
            <w:proofErr w:type="spellStart"/>
            <w:r w:rsidR="0041541E" w:rsidRPr="0041541E">
              <w:rPr>
                <w:rFonts w:ascii="Open Sans" w:eastAsia="Open Sans" w:hAnsi="Open Sans" w:cs="Open Sans"/>
                <w:sz w:val="18"/>
                <w:szCs w:val="18"/>
              </w:rPr>
              <w:t>irrecuperabilidad</w:t>
            </w:r>
            <w:proofErr w:type="spellEnd"/>
            <w:r w:rsidR="0041541E" w:rsidRPr="0041541E">
              <w:rPr>
                <w:rFonts w:ascii="Open Sans" w:eastAsia="Open Sans" w:hAnsi="Open Sans" w:cs="Open Sans"/>
                <w:sz w:val="18"/>
                <w:szCs w:val="18"/>
              </w:rPr>
              <w:t>. Si transcurrido este plazo el empleado no se retirare, procederá la declaración de vacancia del cargo.</w:t>
            </w:r>
          </w:p>
          <w:p w14:paraId="36C22200" w14:textId="6B0E1039" w:rsidR="0041541E" w:rsidRDefault="0041541E" w:rsidP="004169AF">
            <w:pPr>
              <w:widowControl w:val="0"/>
              <w:spacing w:line="240" w:lineRule="auto"/>
              <w:jc w:val="both"/>
              <w:rPr>
                <w:rFonts w:ascii="Open Sans" w:eastAsia="Open Sans" w:hAnsi="Open Sans" w:cs="Open Sans"/>
                <w:sz w:val="18"/>
                <w:szCs w:val="18"/>
              </w:rPr>
            </w:pPr>
            <w:r w:rsidRPr="0041541E">
              <w:rPr>
                <w:rFonts w:ascii="Open Sans" w:eastAsia="Open Sans" w:hAnsi="Open Sans" w:cs="Open Sans"/>
                <w:sz w:val="18"/>
                <w:szCs w:val="18"/>
              </w:rPr>
              <w:t xml:space="preserve">A contar de la fecha de la notificación y durante el referido plazo de seis meses el funcionario no estará obligado a trabajar y gozará de todas las remuneraciones correspondientes a su empleo, las que serán de cargo del empleador” (artículo 152 Estatuto Administrativo y 149 Estatuto Administrativo de </w:t>
            </w:r>
            <w:proofErr w:type="gramStart"/>
            <w:r w:rsidRPr="0041541E">
              <w:rPr>
                <w:rFonts w:ascii="Open Sans" w:eastAsia="Open Sans" w:hAnsi="Open Sans" w:cs="Open Sans"/>
                <w:sz w:val="18"/>
                <w:szCs w:val="18"/>
              </w:rPr>
              <w:t>Funcionarios</w:t>
            </w:r>
            <w:proofErr w:type="gramEnd"/>
            <w:r w:rsidRPr="0041541E">
              <w:rPr>
                <w:rFonts w:ascii="Open Sans" w:eastAsia="Open Sans" w:hAnsi="Open Sans" w:cs="Open Sans"/>
                <w:sz w:val="18"/>
                <w:szCs w:val="18"/>
              </w:rPr>
              <w:t xml:space="preserve"> Municipales).</w:t>
            </w:r>
          </w:p>
          <w:p w14:paraId="7CCDC893" w14:textId="6C4B2C87" w:rsidR="0041541E" w:rsidRDefault="002676C2" w:rsidP="004169AF">
            <w:pPr>
              <w:widowControl w:val="0"/>
              <w:spacing w:line="240" w:lineRule="auto"/>
              <w:jc w:val="both"/>
              <w:rPr>
                <w:rFonts w:ascii="Open Sans" w:eastAsia="Open Sans" w:hAnsi="Open Sans" w:cs="Open Sans"/>
                <w:sz w:val="18"/>
                <w:szCs w:val="18"/>
              </w:rPr>
            </w:pPr>
            <w:r w:rsidRPr="002676C2">
              <w:rPr>
                <w:rFonts w:ascii="Open Sans" w:eastAsia="Open Sans" w:hAnsi="Open Sans" w:cs="Open Sans"/>
                <w:sz w:val="18"/>
                <w:szCs w:val="18"/>
              </w:rPr>
              <w:t xml:space="preserve">Idénticas disposiciones, respecto de los profesionales sujetos al Estatuto Docente, contemplan los artículos 72 bis y 72 ter de la Ley </w:t>
            </w:r>
            <w:proofErr w:type="spellStart"/>
            <w:r w:rsidRPr="002676C2">
              <w:rPr>
                <w:rFonts w:ascii="Open Sans" w:eastAsia="Open Sans" w:hAnsi="Open Sans" w:cs="Open Sans"/>
                <w:sz w:val="18"/>
                <w:szCs w:val="18"/>
              </w:rPr>
              <w:t>N°</w:t>
            </w:r>
            <w:proofErr w:type="spellEnd"/>
            <w:r w:rsidRPr="002676C2">
              <w:rPr>
                <w:rFonts w:ascii="Open Sans" w:eastAsia="Open Sans" w:hAnsi="Open Sans" w:cs="Open Sans"/>
                <w:sz w:val="18"/>
                <w:szCs w:val="18"/>
              </w:rPr>
              <w:t xml:space="preserve"> 19.070.</w:t>
            </w:r>
          </w:p>
          <w:p w14:paraId="3A9A8EA1" w14:textId="77777777" w:rsidR="002676C2" w:rsidRDefault="002676C2" w:rsidP="004169AF">
            <w:pPr>
              <w:widowControl w:val="0"/>
              <w:spacing w:line="240" w:lineRule="auto"/>
              <w:jc w:val="both"/>
              <w:rPr>
                <w:rFonts w:ascii="Open Sans" w:eastAsia="Open Sans" w:hAnsi="Open Sans" w:cs="Open Sans"/>
                <w:sz w:val="18"/>
                <w:szCs w:val="18"/>
              </w:rPr>
            </w:pPr>
          </w:p>
          <w:p w14:paraId="033B8A8E" w14:textId="4F607150" w:rsidR="002676C2" w:rsidRDefault="002676C2" w:rsidP="004169AF">
            <w:pPr>
              <w:widowControl w:val="0"/>
              <w:spacing w:line="240" w:lineRule="auto"/>
              <w:jc w:val="both"/>
              <w:rPr>
                <w:rFonts w:ascii="Open Sans" w:eastAsia="Open Sans" w:hAnsi="Open Sans" w:cs="Open Sans"/>
                <w:sz w:val="18"/>
                <w:szCs w:val="18"/>
              </w:rPr>
            </w:pPr>
            <w:r w:rsidRPr="002676C2">
              <w:rPr>
                <w:rFonts w:ascii="Open Sans" w:eastAsia="Open Sans" w:hAnsi="Open Sans" w:cs="Open Sans"/>
                <w:sz w:val="18"/>
                <w:szCs w:val="18"/>
              </w:rPr>
              <w:t>Quinto: Que, en consecuencia, esos tres cuerpos legales distinguen entre la declaración de vacancia por salud irrecuperable de aquella dispuesta por salud incompatible con el desempeño del cargo, más allá de las diferencias semánticas entre lo irrecuperable (lo que no se puede recuperar) y lo incompatible (lo que no puede estar, funcionar o coexistir sin impedimento de otra cosa).</w:t>
            </w:r>
          </w:p>
          <w:p w14:paraId="17D07975" w14:textId="745CB275" w:rsidR="002676C2" w:rsidRDefault="002676C2" w:rsidP="004169AF">
            <w:pPr>
              <w:widowControl w:val="0"/>
              <w:spacing w:line="240" w:lineRule="auto"/>
              <w:jc w:val="both"/>
              <w:rPr>
                <w:rFonts w:ascii="Open Sans" w:eastAsia="Open Sans" w:hAnsi="Open Sans" w:cs="Open Sans"/>
                <w:sz w:val="18"/>
                <w:szCs w:val="18"/>
              </w:rPr>
            </w:pPr>
            <w:r w:rsidRPr="002676C2">
              <w:rPr>
                <w:rFonts w:ascii="Open Sans" w:eastAsia="Open Sans" w:hAnsi="Open Sans" w:cs="Open Sans"/>
                <w:sz w:val="18"/>
                <w:szCs w:val="18"/>
              </w:rPr>
              <w:t>En efecto, según los textos citados, la declaración de vacancia por salud irrecuperable sólo puede fundamentarse en un antecedente médico que así lo establezca, emitido por las autoridades técnicas establecidas al efecto y que, eventualmente, habilita al funcionario para solicitar su</w:t>
            </w:r>
            <w:r w:rsidR="00DF560C" w:rsidRPr="00DF560C">
              <w:t xml:space="preserve"> </w:t>
            </w:r>
            <w:r w:rsidR="00DF560C" w:rsidRPr="00DF560C">
              <w:rPr>
                <w:rFonts w:ascii="Open Sans" w:eastAsia="Open Sans" w:hAnsi="Open Sans" w:cs="Open Sans"/>
                <w:sz w:val="18"/>
                <w:szCs w:val="18"/>
              </w:rPr>
              <w:t xml:space="preserve">jubilación anticipada por invalidez. Ello permite que, excepcionalmente, una vez notificada la declaración del </w:t>
            </w:r>
            <w:proofErr w:type="spellStart"/>
            <w:r w:rsidR="00DF560C" w:rsidRPr="00DF560C">
              <w:rPr>
                <w:rFonts w:ascii="Open Sans" w:eastAsia="Open Sans" w:hAnsi="Open Sans" w:cs="Open Sans"/>
                <w:sz w:val="18"/>
                <w:szCs w:val="18"/>
              </w:rPr>
              <w:t>irrecuperabilidad</w:t>
            </w:r>
            <w:proofErr w:type="spellEnd"/>
            <w:r w:rsidR="00DF560C" w:rsidRPr="00DF560C">
              <w:rPr>
                <w:rFonts w:ascii="Open Sans" w:eastAsia="Open Sans" w:hAnsi="Open Sans" w:cs="Open Sans"/>
                <w:sz w:val="18"/>
                <w:szCs w:val="18"/>
              </w:rPr>
              <w:t>, se pague al funcionario sus remuneraciones durante seis meses, sin necesidad de presentar licencia médica ni de desempeñar sus funciones, lapso tras el cual se procederá a declarar la vacancia del cargo, salvo retiro o jubilación anticipada del funcionario.</w:t>
            </w:r>
          </w:p>
          <w:p w14:paraId="11F4B5C9" w14:textId="0EBF7F48" w:rsidR="00DF560C" w:rsidRDefault="00DF560C" w:rsidP="004169AF">
            <w:pPr>
              <w:widowControl w:val="0"/>
              <w:spacing w:line="240" w:lineRule="auto"/>
              <w:jc w:val="both"/>
              <w:rPr>
                <w:rFonts w:ascii="Open Sans" w:eastAsia="Open Sans" w:hAnsi="Open Sans" w:cs="Open Sans"/>
                <w:sz w:val="18"/>
                <w:szCs w:val="18"/>
              </w:rPr>
            </w:pPr>
            <w:r w:rsidRPr="00DF560C">
              <w:rPr>
                <w:rFonts w:ascii="Open Sans" w:eastAsia="Open Sans" w:hAnsi="Open Sans" w:cs="Open Sans"/>
                <w:sz w:val="18"/>
                <w:szCs w:val="18"/>
              </w:rPr>
              <w:t>En cambio, la declaración de vacancia por salud incompatible con el desempaño del cargo no otorga ninguno de esos beneficios pues, como expresan los textos legales citados, ella se dispone “sin mediar declaración de salud irrecuperable” o, lo que es lo mismo, cuando la autoridad técnica establece que su salud es recuperable. Aquí, la incompatibilidad con el desempeño del cargo se traduce en el hecho de que, salvo excepciones legales como el diagnóstico de cáncer y la protección de la maternidad, cualquiera sea la enfermedad que padezca el funcionario, y a pesar de ser recuperable, su condición médica resulta incompatible con el desempeño de la función pública, al no permitirle ejercer su cargo por más de seis meses dentro de un lapso de dos años.</w:t>
            </w:r>
          </w:p>
          <w:p w14:paraId="0F89343F" w14:textId="77777777" w:rsidR="00C53546" w:rsidRDefault="00C53546" w:rsidP="004169AF">
            <w:pPr>
              <w:widowControl w:val="0"/>
              <w:spacing w:line="240" w:lineRule="auto"/>
              <w:jc w:val="both"/>
              <w:rPr>
                <w:rFonts w:ascii="Open Sans" w:eastAsia="Open Sans" w:hAnsi="Open Sans" w:cs="Open Sans"/>
                <w:sz w:val="18"/>
                <w:szCs w:val="18"/>
              </w:rPr>
            </w:pPr>
          </w:p>
          <w:p w14:paraId="094A7F0B" w14:textId="0018A39F" w:rsidR="00C53546" w:rsidRDefault="00C53546" w:rsidP="004169AF">
            <w:pPr>
              <w:widowControl w:val="0"/>
              <w:spacing w:line="240" w:lineRule="auto"/>
              <w:jc w:val="both"/>
              <w:rPr>
                <w:rFonts w:ascii="Open Sans" w:eastAsia="Open Sans" w:hAnsi="Open Sans" w:cs="Open Sans"/>
                <w:sz w:val="18"/>
                <w:szCs w:val="18"/>
              </w:rPr>
            </w:pPr>
            <w:r w:rsidRPr="00C53546">
              <w:rPr>
                <w:rFonts w:ascii="Open Sans" w:eastAsia="Open Sans" w:hAnsi="Open Sans" w:cs="Open Sans"/>
                <w:sz w:val="18"/>
                <w:szCs w:val="18"/>
              </w:rPr>
              <w:t xml:space="preserve">Séptimo: Que a estas mismas conclusiones ha llegado el Dictamen de la Contraloría General de la República, N°E188441, de 24 de abril de 2022, que ratifica el criterio expuesto en el dictamen N°17.351, de 2018, que concluyó que las modificaciones introducidas por la Ley </w:t>
            </w:r>
            <w:proofErr w:type="spellStart"/>
            <w:r w:rsidRPr="00C53546">
              <w:rPr>
                <w:rFonts w:ascii="Open Sans" w:eastAsia="Open Sans" w:hAnsi="Open Sans" w:cs="Open Sans"/>
                <w:sz w:val="18"/>
                <w:szCs w:val="18"/>
              </w:rPr>
              <w:t>N°</w:t>
            </w:r>
            <w:proofErr w:type="spellEnd"/>
            <w:r w:rsidRPr="00C53546">
              <w:rPr>
                <w:rFonts w:ascii="Open Sans" w:eastAsia="Open Sans" w:hAnsi="Open Sans" w:cs="Open Sans"/>
                <w:sz w:val="18"/>
                <w:szCs w:val="18"/>
              </w:rPr>
              <w:t xml:space="preserve"> 21.050 no derogaron la causal de vacancia en el cargo por salud incompatible, la que puede declararse, en el evento de que la Comisión de Medicina Preventiva e Invalidez -COMPIN- estime que la salud del funcionario es recuperable, si se configura la causal objetiva de haberse hecho uso de licencia médica por más de seis meses en dos años, al tenor de lo dispuesto en los artículos 151 de la Ley N°18.834 y 148 de la Ley N°18.883.</w:t>
            </w:r>
          </w:p>
          <w:p w14:paraId="33D6A024" w14:textId="77777777" w:rsidR="00B12B4F" w:rsidRDefault="00B12B4F" w:rsidP="004169AF">
            <w:pPr>
              <w:widowControl w:val="0"/>
              <w:spacing w:line="240" w:lineRule="auto"/>
              <w:jc w:val="both"/>
              <w:rPr>
                <w:rFonts w:ascii="Open Sans" w:eastAsia="Open Sans" w:hAnsi="Open Sans" w:cs="Open Sans"/>
                <w:sz w:val="18"/>
                <w:szCs w:val="18"/>
              </w:rPr>
            </w:pPr>
          </w:p>
          <w:p w14:paraId="2E4647EE" w14:textId="4920F01B" w:rsidR="00B12B4F" w:rsidRDefault="00B12B4F" w:rsidP="004169AF">
            <w:pPr>
              <w:widowControl w:val="0"/>
              <w:spacing w:line="240" w:lineRule="auto"/>
              <w:jc w:val="both"/>
              <w:rPr>
                <w:rFonts w:ascii="Open Sans" w:eastAsia="Open Sans" w:hAnsi="Open Sans" w:cs="Open Sans"/>
                <w:sz w:val="18"/>
                <w:szCs w:val="18"/>
              </w:rPr>
            </w:pPr>
            <w:r w:rsidRPr="00B12B4F">
              <w:rPr>
                <w:rFonts w:ascii="Open Sans" w:eastAsia="Open Sans" w:hAnsi="Open Sans" w:cs="Open Sans"/>
                <w:sz w:val="18"/>
                <w:szCs w:val="18"/>
              </w:rPr>
              <w:lastRenderedPageBreak/>
              <w:t>Noveno: Que, por otra parte, en estos autos, no se ha demostrado la existencia de una arbitrariedad, pues el acto impugnado se fundamenta en la declaración previa de salud recuperable de la recurrente y en el hecho acreditado de haber hecho uso de licencias médicas por un término que excede los 180 días en dos años, dejando de cumplir con sus funciones por más de seis meses.</w:t>
            </w:r>
          </w:p>
          <w:p w14:paraId="32D3E2F7" w14:textId="77777777" w:rsidR="00EB4CD4" w:rsidRDefault="00EB4CD4" w:rsidP="004169AF">
            <w:pPr>
              <w:widowControl w:val="0"/>
              <w:spacing w:line="240" w:lineRule="auto"/>
              <w:jc w:val="both"/>
              <w:rPr>
                <w:rFonts w:ascii="Open Sans" w:eastAsia="Open Sans" w:hAnsi="Open Sans" w:cs="Open Sans"/>
                <w:sz w:val="18"/>
                <w:szCs w:val="18"/>
              </w:rPr>
            </w:pPr>
          </w:p>
          <w:p w14:paraId="76B590A7" w14:textId="16ADC492" w:rsidR="0013762D" w:rsidRPr="0069417B" w:rsidRDefault="00EB4CD4" w:rsidP="004169AF">
            <w:pPr>
              <w:widowControl w:val="0"/>
              <w:spacing w:line="240" w:lineRule="auto"/>
              <w:jc w:val="both"/>
              <w:rPr>
                <w:rFonts w:ascii="Open Sans" w:eastAsia="Open Sans" w:hAnsi="Open Sans" w:cs="Open Sans"/>
                <w:sz w:val="18"/>
                <w:szCs w:val="18"/>
                <w:lang w:val="es-419"/>
              </w:rPr>
            </w:pPr>
            <w:r w:rsidRPr="00EB4CD4">
              <w:rPr>
                <w:rFonts w:ascii="Open Sans" w:eastAsia="Open Sans" w:hAnsi="Open Sans" w:cs="Open Sans"/>
                <w:sz w:val="18"/>
                <w:szCs w:val="18"/>
              </w:rPr>
              <w:t xml:space="preserve">Se previene que el </w:t>
            </w:r>
            <w:proofErr w:type="gramStart"/>
            <w:r w:rsidRPr="00EB4CD4">
              <w:rPr>
                <w:rFonts w:ascii="Open Sans" w:eastAsia="Open Sans" w:hAnsi="Open Sans" w:cs="Open Sans"/>
                <w:sz w:val="18"/>
                <w:szCs w:val="18"/>
              </w:rPr>
              <w:t>Ministro</w:t>
            </w:r>
            <w:proofErr w:type="gramEnd"/>
            <w:r w:rsidR="00D2676D">
              <w:rPr>
                <w:rFonts w:ascii="Open Sans" w:eastAsia="Open Sans" w:hAnsi="Open Sans" w:cs="Open Sans"/>
                <w:sz w:val="18"/>
                <w:szCs w:val="18"/>
              </w:rPr>
              <w:t xml:space="preserve"> </w:t>
            </w:r>
            <w:r w:rsidRPr="00EB4CD4">
              <w:rPr>
                <w:rFonts w:ascii="Open Sans" w:eastAsia="Open Sans" w:hAnsi="Open Sans" w:cs="Open Sans"/>
                <w:sz w:val="18"/>
                <w:szCs w:val="18"/>
              </w:rPr>
              <w:t xml:space="preserve">señor </w:t>
            </w:r>
            <w:proofErr w:type="spellStart"/>
            <w:r w:rsidRPr="00EB4CD4">
              <w:rPr>
                <w:rFonts w:ascii="Open Sans" w:eastAsia="Open Sans" w:hAnsi="Open Sans" w:cs="Open Sans"/>
                <w:sz w:val="18"/>
                <w:szCs w:val="18"/>
              </w:rPr>
              <w:t>Simpértigue</w:t>
            </w:r>
            <w:proofErr w:type="spellEnd"/>
            <w:r w:rsidRPr="00EB4CD4">
              <w:rPr>
                <w:rFonts w:ascii="Open Sans" w:eastAsia="Open Sans" w:hAnsi="Open Sans" w:cs="Open Sans"/>
                <w:sz w:val="18"/>
                <w:szCs w:val="18"/>
              </w:rPr>
              <w:t xml:space="preserve"> y la Abogada Integrante señora Benavides quienes, tras un mejor estudio de los antecedentes, han reconsiderado la postura sostenida en fallos anteriores para adherir a la expresada en los razonamientos precedentes.</w:t>
            </w:r>
          </w:p>
        </w:tc>
      </w:tr>
      <w:tr w:rsidR="00157C74" w14:paraId="1A7882AE" w14:textId="77777777" w:rsidTr="004169AF">
        <w:trPr>
          <w:trHeight w:val="530"/>
        </w:trPr>
        <w:tc>
          <w:tcPr>
            <w:tcW w:w="2295" w:type="dxa"/>
          </w:tcPr>
          <w:p w14:paraId="4E220AED" w14:textId="77777777" w:rsidR="00157C74" w:rsidRDefault="00D2676D" w:rsidP="004169AF">
            <w:pPr>
              <w:widowControl w:val="0"/>
              <w:spacing w:line="240" w:lineRule="auto"/>
              <w:rPr>
                <w:rFonts w:ascii="Open Sans" w:eastAsia="Open Sans" w:hAnsi="Open Sans" w:cs="Open Sans"/>
                <w:sz w:val="18"/>
                <w:szCs w:val="18"/>
              </w:rPr>
            </w:pPr>
            <w:r>
              <w:rPr>
                <w:rFonts w:ascii="Open Sans" w:eastAsia="Open Sans" w:hAnsi="Open Sans" w:cs="Open Sans"/>
                <w:sz w:val="18"/>
                <w:szCs w:val="18"/>
              </w:rPr>
              <w:lastRenderedPageBreak/>
              <w:t>Decisión</w:t>
            </w:r>
          </w:p>
        </w:tc>
        <w:tc>
          <w:tcPr>
            <w:tcW w:w="7095" w:type="dxa"/>
          </w:tcPr>
          <w:p w14:paraId="0B0A0543" w14:textId="3D1E55CE" w:rsidR="00157C74" w:rsidRPr="0069417B" w:rsidRDefault="0013762D" w:rsidP="004169AF">
            <w:pPr>
              <w:widowControl w:val="0"/>
              <w:spacing w:line="240" w:lineRule="auto"/>
              <w:jc w:val="both"/>
              <w:rPr>
                <w:rFonts w:ascii="Open Sans" w:eastAsia="Open Sans" w:hAnsi="Open Sans" w:cs="Open Sans"/>
                <w:sz w:val="18"/>
                <w:szCs w:val="18"/>
                <w:lang w:val="es-419"/>
              </w:rPr>
            </w:pPr>
            <w:r w:rsidRPr="0013762D">
              <w:rPr>
                <w:rFonts w:ascii="Open Sans" w:eastAsia="Open Sans" w:hAnsi="Open Sans" w:cs="Open Sans"/>
                <w:sz w:val="18"/>
                <w:szCs w:val="18"/>
                <w:lang w:val="es-419"/>
              </w:rPr>
              <w:t>El Tribunal decide</w:t>
            </w:r>
            <w:r w:rsidR="00EB4CD4">
              <w:rPr>
                <w:rFonts w:ascii="Open Sans" w:eastAsia="Open Sans" w:hAnsi="Open Sans" w:cs="Open Sans"/>
                <w:sz w:val="18"/>
                <w:szCs w:val="18"/>
                <w:lang w:val="es-419"/>
              </w:rPr>
              <w:t xml:space="preserve"> </w:t>
            </w:r>
            <w:r w:rsidR="00206CEB">
              <w:rPr>
                <w:rFonts w:ascii="Open Sans" w:eastAsia="Open Sans" w:hAnsi="Open Sans" w:cs="Open Sans"/>
                <w:sz w:val="18"/>
                <w:szCs w:val="18"/>
                <w:lang w:val="es-419"/>
              </w:rPr>
              <w:t>rechazar la acción de protección.</w:t>
            </w:r>
          </w:p>
        </w:tc>
      </w:tr>
      <w:tr w:rsidR="00157C74" w14:paraId="5AC16E50" w14:textId="77777777" w:rsidTr="004169AF">
        <w:tc>
          <w:tcPr>
            <w:tcW w:w="2295" w:type="dxa"/>
          </w:tcPr>
          <w:p w14:paraId="7AC7505E" w14:textId="77777777" w:rsidR="00157C74" w:rsidRDefault="00157C74" w:rsidP="004169AF">
            <w:pPr>
              <w:widowControl w:val="0"/>
              <w:spacing w:line="240" w:lineRule="auto"/>
              <w:rPr>
                <w:rFonts w:ascii="Open Sans" w:eastAsia="Open Sans" w:hAnsi="Open Sans" w:cs="Open Sans"/>
                <w:sz w:val="18"/>
                <w:szCs w:val="18"/>
              </w:rPr>
            </w:pPr>
          </w:p>
          <w:tbl>
            <w:tblPr>
              <w:tblStyle w:val="1"/>
              <w:tblW w:w="209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95"/>
            </w:tblGrid>
            <w:tr w:rsidR="00157C74" w14:paraId="35028508" w14:textId="77777777">
              <w:tc>
                <w:tcPr>
                  <w:tcW w:w="2095" w:type="dxa"/>
                </w:tcPr>
                <w:p w14:paraId="4B632155" w14:textId="77777777" w:rsidR="00157C74" w:rsidRDefault="00D2676D" w:rsidP="004169AF">
                  <w:pPr>
                    <w:widowControl w:val="0"/>
                    <w:spacing w:line="240" w:lineRule="auto"/>
                    <w:rPr>
                      <w:rFonts w:ascii="Open Sans" w:eastAsia="Open Sans" w:hAnsi="Open Sans" w:cs="Open Sans"/>
                      <w:sz w:val="18"/>
                      <w:szCs w:val="18"/>
                    </w:rPr>
                  </w:pPr>
                  <w:r>
                    <w:rPr>
                      <w:rFonts w:ascii="Open Sans" w:eastAsia="Open Sans" w:hAnsi="Open Sans" w:cs="Open Sans"/>
                      <w:sz w:val="18"/>
                      <w:szCs w:val="18"/>
                    </w:rPr>
                    <w:t>Resumen del comentario</w:t>
                  </w:r>
                </w:p>
              </w:tc>
            </w:tr>
            <w:tr w:rsidR="00157C74" w14:paraId="3C484DC6" w14:textId="77777777">
              <w:tc>
                <w:tcPr>
                  <w:tcW w:w="2095" w:type="dxa"/>
                </w:tcPr>
                <w:p w14:paraId="3CB664DD" w14:textId="22AFD568" w:rsidR="00157C74" w:rsidRDefault="00B14A73" w:rsidP="004169AF">
                  <w:pPr>
                    <w:widowControl w:val="0"/>
                    <w:spacing w:line="240" w:lineRule="auto"/>
                    <w:rPr>
                      <w:rFonts w:ascii="Open Sans" w:eastAsia="Open Sans" w:hAnsi="Open Sans" w:cs="Open Sans"/>
                      <w:sz w:val="18"/>
                      <w:szCs w:val="18"/>
                    </w:rPr>
                  </w:pPr>
                  <w:r>
                    <w:rPr>
                      <w:rFonts w:ascii="Open Sans" w:eastAsia="Open Sans" w:hAnsi="Open Sans" w:cs="Open Sans"/>
                      <w:sz w:val="18"/>
                      <w:szCs w:val="18"/>
                    </w:rPr>
                    <w:t>Andrés Valenzuela</w:t>
                  </w:r>
                  <w:r w:rsidR="0013762D">
                    <w:rPr>
                      <w:rFonts w:ascii="Open Sans" w:eastAsia="Open Sans" w:hAnsi="Open Sans" w:cs="Open Sans"/>
                      <w:sz w:val="18"/>
                      <w:szCs w:val="18"/>
                    </w:rPr>
                    <w:t xml:space="preserve"> </w:t>
                  </w:r>
                </w:p>
              </w:tc>
            </w:tr>
            <w:tr w:rsidR="00157C74" w14:paraId="70B90B97" w14:textId="77777777">
              <w:tc>
                <w:tcPr>
                  <w:tcW w:w="2095" w:type="dxa"/>
                </w:tcPr>
                <w:p w14:paraId="3CDC7674" w14:textId="3B8ABF48" w:rsidR="00157C74" w:rsidRDefault="00D2676D" w:rsidP="004169AF">
                  <w:pPr>
                    <w:widowControl w:val="0"/>
                    <w:spacing w:line="240" w:lineRule="auto"/>
                    <w:rPr>
                      <w:rFonts w:ascii="Open Sans" w:eastAsia="Open Sans" w:hAnsi="Open Sans" w:cs="Open Sans"/>
                      <w:sz w:val="18"/>
                      <w:szCs w:val="18"/>
                    </w:rPr>
                  </w:pPr>
                  <w:r>
                    <w:rPr>
                      <w:rFonts w:ascii="Open Sans" w:eastAsia="Open Sans" w:hAnsi="Open Sans" w:cs="Open Sans"/>
                      <w:sz w:val="18"/>
                      <w:szCs w:val="18"/>
                    </w:rPr>
                    <w:t>Sentencias Destacadas 202</w:t>
                  </w:r>
                  <w:r w:rsidR="0069417B">
                    <w:rPr>
                      <w:rFonts w:ascii="Open Sans" w:eastAsia="Open Sans" w:hAnsi="Open Sans" w:cs="Open Sans"/>
                      <w:sz w:val="18"/>
                      <w:szCs w:val="18"/>
                    </w:rPr>
                    <w:t>4-2025</w:t>
                  </w:r>
                </w:p>
              </w:tc>
            </w:tr>
          </w:tbl>
          <w:p w14:paraId="05FE9CB1" w14:textId="77777777" w:rsidR="00157C74" w:rsidRDefault="00157C74" w:rsidP="004169AF">
            <w:pPr>
              <w:widowControl w:val="0"/>
              <w:spacing w:line="240" w:lineRule="auto"/>
              <w:rPr>
                <w:rFonts w:ascii="Open Sans" w:eastAsia="Open Sans" w:hAnsi="Open Sans" w:cs="Open Sans"/>
                <w:sz w:val="18"/>
                <w:szCs w:val="18"/>
              </w:rPr>
            </w:pPr>
          </w:p>
        </w:tc>
        <w:tc>
          <w:tcPr>
            <w:tcW w:w="7095" w:type="dxa"/>
          </w:tcPr>
          <w:p w14:paraId="55CFC74B" w14:textId="77777777" w:rsidR="00D2676D" w:rsidRPr="00D2676D" w:rsidRDefault="00D2676D" w:rsidP="004169AF">
            <w:pPr>
              <w:jc w:val="both"/>
              <w:rPr>
                <w:rFonts w:ascii="Open Sans" w:hAnsi="Open Sans" w:cs="Open Sans"/>
                <w:sz w:val="18"/>
                <w:szCs w:val="18"/>
              </w:rPr>
            </w:pPr>
            <w:r w:rsidRPr="00D2676D">
              <w:rPr>
                <w:rFonts w:ascii="Open Sans" w:hAnsi="Open Sans" w:cs="Open Sans"/>
                <w:sz w:val="18"/>
                <w:szCs w:val="18"/>
              </w:rPr>
              <w:t>Este trabajo analiza un fallo dictado el último día de 2024 por la Corte Suprema, en el que da un giro a lo resuelto sobre vacancia en el cargo de un funcionario público por la Tercera Sala del Máximo Tribunal, contemplando incluso una prevención que hacía avizorar el surgimiento de una línea jurisprudencial estable sobre la materia, lo que era de especial relevancia en favor de la seguridad jurídica de servicios públicos y administrados. Sin embargo, esa esperanza duró poco, retornando la Tercera Sala al vaivén jurisprudencial.</w:t>
            </w:r>
          </w:p>
          <w:p w14:paraId="13CDD718" w14:textId="34CD922D" w:rsidR="00157C74" w:rsidRPr="00D2676D" w:rsidRDefault="00D2676D" w:rsidP="004169AF">
            <w:pPr>
              <w:jc w:val="both"/>
              <w:rPr>
                <w:rFonts w:ascii="Times New Roman" w:hAnsi="Times New Roman" w:cs="Times New Roman"/>
                <w:sz w:val="24"/>
                <w:szCs w:val="24"/>
              </w:rPr>
            </w:pPr>
            <w:r w:rsidRPr="00D2676D">
              <w:rPr>
                <w:rFonts w:ascii="Open Sans" w:hAnsi="Open Sans" w:cs="Open Sans"/>
                <w:sz w:val="18"/>
                <w:szCs w:val="18"/>
              </w:rPr>
              <w:t>Asimismo, el trabajo revisa los criterios disímiles que han sostenido sobre la materia, además de la Tercera Sala, la Cuarta Sala de la Corte Suprema, el Tribunal Constitucional y la Contraloría General de la República.</w:t>
            </w:r>
            <w:r w:rsidRPr="00CA19BA">
              <w:rPr>
                <w:rFonts w:ascii="Times New Roman" w:hAnsi="Times New Roman" w:cs="Times New Roman"/>
                <w:sz w:val="24"/>
                <w:szCs w:val="24"/>
              </w:rPr>
              <w:t xml:space="preserve">  </w:t>
            </w:r>
          </w:p>
        </w:tc>
      </w:tr>
    </w:tbl>
    <w:p w14:paraId="49B1CE8D" w14:textId="0FA8131A" w:rsidR="00157C74" w:rsidRDefault="004169AF">
      <w:pPr>
        <w:jc w:val="center"/>
        <w:rPr>
          <w:rFonts w:ascii="Open Sans" w:eastAsia="Open Sans" w:hAnsi="Open Sans" w:cs="Open Sans"/>
          <w:b/>
        </w:rPr>
      </w:pPr>
      <w:r>
        <w:rPr>
          <w:rFonts w:ascii="Open Sans" w:hAnsi="Open Sans" w:cs="Open Sans"/>
          <w:b/>
          <w:bCs/>
          <w:noProof/>
        </w:rPr>
        <w:drawing>
          <wp:anchor distT="0" distB="0" distL="114300" distR="114300" simplePos="0" relativeHeight="251656190" behindDoc="1" locked="0" layoutInCell="1" allowOverlap="1" wp14:anchorId="1149BF7B" wp14:editId="2309F4C4">
            <wp:simplePos x="0" y="0"/>
            <wp:positionH relativeFrom="page">
              <wp:align>right</wp:align>
            </wp:positionH>
            <wp:positionV relativeFrom="paragraph">
              <wp:posOffset>-5009477</wp:posOffset>
            </wp:positionV>
            <wp:extent cx="7778358" cy="10045874"/>
            <wp:effectExtent l="0" t="0" r="0" b="0"/>
            <wp:wrapNone/>
            <wp:docPr id="190465686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532132" name="Imagen 1204532132"/>
                    <pic:cNvPicPr/>
                  </pic:nvPicPr>
                  <pic:blipFill>
                    <a:blip r:embed="rId5">
                      <a:extLst>
                        <a:ext uri="{28A0092B-C50C-407E-A947-70E740481C1C}">
                          <a14:useLocalDpi xmlns:a14="http://schemas.microsoft.com/office/drawing/2010/main" val="0"/>
                        </a:ext>
                      </a:extLst>
                    </a:blip>
                    <a:stretch>
                      <a:fillRect/>
                    </a:stretch>
                  </pic:blipFill>
                  <pic:spPr>
                    <a:xfrm>
                      <a:off x="0" y="0"/>
                      <a:ext cx="7778358" cy="10045874"/>
                    </a:xfrm>
                    <a:prstGeom prst="rect">
                      <a:avLst/>
                    </a:prstGeom>
                  </pic:spPr>
                </pic:pic>
              </a:graphicData>
            </a:graphic>
            <wp14:sizeRelH relativeFrom="margin">
              <wp14:pctWidth>0</wp14:pctWidth>
            </wp14:sizeRelH>
            <wp14:sizeRelV relativeFrom="margin">
              <wp14:pctHeight>0</wp14:pctHeight>
            </wp14:sizeRelV>
          </wp:anchor>
        </w:drawing>
      </w:r>
    </w:p>
    <w:p w14:paraId="454DC8BF" w14:textId="097A8BA7" w:rsidR="00157C74" w:rsidRDefault="00157C74">
      <w:pPr>
        <w:jc w:val="center"/>
        <w:rPr>
          <w:rFonts w:ascii="Open Sans" w:eastAsia="Open Sans" w:hAnsi="Open Sans" w:cs="Open Sans"/>
          <w:b/>
        </w:rPr>
      </w:pPr>
    </w:p>
    <w:sectPr w:rsidR="00157C74">
      <w:pgSz w:w="12240" w:h="15840"/>
      <w:pgMar w:top="1417" w:right="1417" w:bottom="1417" w:left="1417"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embedRegular r:id="rId1" w:fontKey="{A18F7EF8-0538-425F-A49F-D42143F30C8E}"/>
    <w:embedBold r:id="rId2" w:fontKey="{5BABBB0F-F1F6-41FC-9D5A-42274CF12133}"/>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3" w:fontKey="{60A9E7AA-A62D-4FAB-BD16-6478054A1E87}"/>
  </w:font>
  <w:font w:name="Cambria">
    <w:panose1 w:val="02040503050406030204"/>
    <w:charset w:val="00"/>
    <w:family w:val="roman"/>
    <w:pitch w:val="variable"/>
    <w:sig w:usb0="E00006FF" w:usb1="420024FF" w:usb2="02000000" w:usb3="00000000" w:csb0="0000019F" w:csb1="00000000"/>
    <w:embedRegular r:id="rId4" w:fontKey="{954F1443-8249-4968-B99A-4769109539D4}"/>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7E5439"/>
    <w:multiLevelType w:val="hybridMultilevel"/>
    <w:tmpl w:val="86CCB74E"/>
    <w:lvl w:ilvl="0" w:tplc="037C08A2">
      <w:start w:val="2"/>
      <w:numFmt w:val="decimal"/>
      <w:lvlText w:val="%1."/>
      <w:lvlJc w:val="left"/>
      <w:pPr>
        <w:ind w:left="720" w:hanging="360"/>
      </w:pPr>
      <w:rPr>
        <w:rFonts w:hint="default"/>
        <w:b/>
        <w:sz w:val="22"/>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3441622D"/>
    <w:multiLevelType w:val="hybridMultilevel"/>
    <w:tmpl w:val="FC421C5E"/>
    <w:lvl w:ilvl="0" w:tplc="1DAEFF9E">
      <w:start w:val="1"/>
      <w:numFmt w:val="decimal"/>
      <w:lvlText w:val="%1."/>
      <w:lvlJc w:val="left"/>
      <w:pPr>
        <w:ind w:left="720" w:hanging="360"/>
      </w:pPr>
      <w:rPr>
        <w:rFonts w:ascii="Open Sans" w:eastAsia="Open Sans" w:hAnsi="Open Sans" w:cs="Open San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num w:numId="1" w16cid:durableId="345524799">
    <w:abstractNumId w:val="1"/>
  </w:num>
  <w:num w:numId="2" w16cid:durableId="3585543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9"/>
  <w:displayBackgroundShape/>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7C74"/>
    <w:rsid w:val="00023B0E"/>
    <w:rsid w:val="0002542A"/>
    <w:rsid w:val="000D38E2"/>
    <w:rsid w:val="0013762D"/>
    <w:rsid w:val="001535F0"/>
    <w:rsid w:val="00157C74"/>
    <w:rsid w:val="00206CEB"/>
    <w:rsid w:val="002676C2"/>
    <w:rsid w:val="002753C4"/>
    <w:rsid w:val="003C287E"/>
    <w:rsid w:val="0041541E"/>
    <w:rsid w:val="004169AF"/>
    <w:rsid w:val="00422DC0"/>
    <w:rsid w:val="00425798"/>
    <w:rsid w:val="004403F3"/>
    <w:rsid w:val="00466662"/>
    <w:rsid w:val="00587233"/>
    <w:rsid w:val="005B513A"/>
    <w:rsid w:val="00607669"/>
    <w:rsid w:val="006204B6"/>
    <w:rsid w:val="0069417B"/>
    <w:rsid w:val="006F331E"/>
    <w:rsid w:val="00755528"/>
    <w:rsid w:val="007869D8"/>
    <w:rsid w:val="007C0011"/>
    <w:rsid w:val="007D0E38"/>
    <w:rsid w:val="008E4268"/>
    <w:rsid w:val="00900151"/>
    <w:rsid w:val="00970896"/>
    <w:rsid w:val="00983BBB"/>
    <w:rsid w:val="009B6C24"/>
    <w:rsid w:val="00B12B4F"/>
    <w:rsid w:val="00B14A73"/>
    <w:rsid w:val="00B42FBB"/>
    <w:rsid w:val="00B5162E"/>
    <w:rsid w:val="00BF368C"/>
    <w:rsid w:val="00C40981"/>
    <w:rsid w:val="00C53546"/>
    <w:rsid w:val="00CA2806"/>
    <w:rsid w:val="00D24BEB"/>
    <w:rsid w:val="00D2676D"/>
    <w:rsid w:val="00DF560C"/>
    <w:rsid w:val="00E666F9"/>
    <w:rsid w:val="00EB4CD4"/>
    <w:rsid w:val="00F32915"/>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00A68"/>
  <w15:docId w15:val="{2F50527B-3DD4-411D-A5DC-3CFF12292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 w:eastAsia="es-419"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2">
    <w:name w:val="2"/>
    <w:basedOn w:val="TableNormal"/>
    <w:tblPr>
      <w:tblStyleRowBandSize w:val="1"/>
      <w:tblStyleColBandSize w:val="1"/>
      <w:tblCellMar>
        <w:top w:w="100" w:type="dxa"/>
        <w:left w:w="100" w:type="dxa"/>
        <w:bottom w:w="100" w:type="dxa"/>
        <w:right w:w="100" w:type="dxa"/>
      </w:tblCellMar>
    </w:tblPr>
  </w:style>
  <w:style w:type="table" w:customStyle="1" w:styleId="1">
    <w:name w:val="1"/>
    <w:basedOn w:val="TableNormal"/>
    <w:tblPr>
      <w:tblStyleRowBandSize w:val="1"/>
      <w:tblStyleColBandSize w:val="1"/>
      <w:tblCellMar>
        <w:top w:w="100" w:type="dxa"/>
        <w:left w:w="100" w:type="dxa"/>
        <w:bottom w:w="100" w:type="dxa"/>
        <w:right w:w="100" w:type="dxa"/>
      </w:tblCellMar>
    </w:tblPr>
  </w:style>
  <w:style w:type="paragraph" w:styleId="Prrafodelista">
    <w:name w:val="List Paragraph"/>
    <w:basedOn w:val="Normal"/>
    <w:uiPriority w:val="34"/>
    <w:qFormat/>
    <w:rsid w:val="006941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1181</Words>
  <Characters>6499</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 Jesus Rosende</dc:creator>
  <cp:keywords/>
  <dc:description/>
  <cp:lastModifiedBy>Ma Jesus Rosende</cp:lastModifiedBy>
  <cp:revision>3</cp:revision>
  <dcterms:created xsi:type="dcterms:W3CDTF">2025-08-21T16:00:00Z</dcterms:created>
  <dcterms:modified xsi:type="dcterms:W3CDTF">2026-01-14T03:13:00Z</dcterms:modified>
</cp:coreProperties>
</file>